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638"/>
      </w:tblGrid>
      <w:tr w:rsidR="0012140D" w:rsidRPr="0012140D" w:rsidTr="0012140D">
        <w:trPr>
          <w:tblCellSpacing w:w="0" w:type="dxa"/>
        </w:trPr>
        <w:tc>
          <w:tcPr>
            <w:tcW w:w="0" w:type="auto"/>
            <w:vAlign w:val="center"/>
            <w:hideMark/>
          </w:tcPr>
          <w:p w:rsidR="0012140D" w:rsidRPr="0012140D" w:rsidRDefault="0012140D" w:rsidP="0012140D">
            <w:pPr>
              <w:spacing w:before="100" w:beforeAutospacing="1" w:after="100" w:afterAutospacing="1" w:line="240" w:lineRule="auto"/>
              <w:outlineLvl w:val="0"/>
              <w:rPr>
                <w:rFonts w:ascii="Times New Roman" w:eastAsia="Times New Roman" w:hAnsi="Times New Roman" w:cs="Times New Roman"/>
                <w:b/>
                <w:bCs/>
                <w:kern w:val="36"/>
                <w:sz w:val="48"/>
                <w:szCs w:val="48"/>
                <w:lang w:eastAsia="it-IT"/>
              </w:rPr>
            </w:pPr>
            <w:r w:rsidRPr="0012140D">
              <w:rPr>
                <w:rFonts w:ascii="Times New Roman" w:eastAsia="Times New Roman" w:hAnsi="Times New Roman" w:cs="Times New Roman"/>
                <w:b/>
                <w:bCs/>
                <w:kern w:val="36"/>
                <w:sz w:val="48"/>
                <w:szCs w:val="48"/>
                <w:lang w:eastAsia="it-IT"/>
              </w:rPr>
              <w:t>Consiglio dei Ministri n. 69</w:t>
            </w:r>
          </w:p>
        </w:tc>
      </w:tr>
      <w:tr w:rsidR="0012140D" w:rsidRPr="0012140D" w:rsidTr="0012140D">
        <w:trPr>
          <w:tblCellSpacing w:w="0" w:type="dxa"/>
        </w:trPr>
        <w:tc>
          <w:tcPr>
            <w:tcW w:w="0" w:type="auto"/>
            <w:vAlign w:val="center"/>
            <w:hideMark/>
          </w:tcPr>
          <w:p w:rsidR="0012140D" w:rsidRPr="0012140D" w:rsidRDefault="0012140D" w:rsidP="0012140D">
            <w:pPr>
              <w:spacing w:before="100" w:beforeAutospacing="1" w:after="100" w:afterAutospacing="1" w:line="240" w:lineRule="auto"/>
              <w:rPr>
                <w:rFonts w:ascii="Times New Roman" w:eastAsia="Times New Roman" w:hAnsi="Times New Roman" w:cs="Times New Roman"/>
                <w:sz w:val="24"/>
                <w:szCs w:val="24"/>
                <w:lang w:eastAsia="it-IT"/>
              </w:rPr>
            </w:pPr>
            <w:r w:rsidRPr="0012140D">
              <w:rPr>
                <w:rFonts w:ascii="Times New Roman" w:eastAsia="Times New Roman" w:hAnsi="Times New Roman" w:cs="Times New Roman"/>
                <w:sz w:val="24"/>
                <w:szCs w:val="24"/>
                <w:lang w:eastAsia="it-IT"/>
              </w:rPr>
              <w:t>23 Giugno 2015</w:t>
            </w:r>
          </w:p>
          <w:p w:rsidR="0012140D" w:rsidRPr="0012140D" w:rsidRDefault="0012140D" w:rsidP="0012140D">
            <w:pPr>
              <w:spacing w:before="100" w:beforeAutospacing="1" w:after="100" w:afterAutospacing="1" w:line="240" w:lineRule="auto"/>
              <w:rPr>
                <w:rFonts w:ascii="Times New Roman" w:eastAsia="Times New Roman" w:hAnsi="Times New Roman" w:cs="Times New Roman"/>
                <w:sz w:val="24"/>
                <w:szCs w:val="24"/>
                <w:lang w:eastAsia="it-IT"/>
              </w:rPr>
            </w:pPr>
            <w:r w:rsidRPr="0012140D">
              <w:rPr>
                <w:rFonts w:ascii="Times New Roman" w:eastAsia="Times New Roman" w:hAnsi="Times New Roman" w:cs="Times New Roman"/>
                <w:sz w:val="24"/>
                <w:szCs w:val="24"/>
                <w:lang w:eastAsia="it-IT"/>
              </w:rPr>
              <w:t xml:space="preserve">Il Consiglio dei Ministri si è riunito oggi, martedì 23 giugno 2015, alle ore 19.20 a Palazzo Chigi, sotto la presidenza del Presidente del Consiglio dei Ministri Matteo </w:t>
            </w:r>
            <w:proofErr w:type="spellStart"/>
            <w:r w:rsidRPr="0012140D">
              <w:rPr>
                <w:rFonts w:ascii="Times New Roman" w:eastAsia="Times New Roman" w:hAnsi="Times New Roman" w:cs="Times New Roman"/>
                <w:sz w:val="24"/>
                <w:szCs w:val="24"/>
                <w:lang w:eastAsia="it-IT"/>
              </w:rPr>
              <w:t>Renzi</w:t>
            </w:r>
            <w:proofErr w:type="spellEnd"/>
            <w:r w:rsidRPr="0012140D">
              <w:rPr>
                <w:rFonts w:ascii="Times New Roman" w:eastAsia="Times New Roman" w:hAnsi="Times New Roman" w:cs="Times New Roman"/>
                <w:sz w:val="24"/>
                <w:szCs w:val="24"/>
                <w:lang w:eastAsia="it-IT"/>
              </w:rPr>
              <w:t>. Segretario il Sottosegretario alla Presidenza del Consiglio dei Ministri Claudio De Vincenti.</w:t>
            </w:r>
          </w:p>
          <w:p w:rsidR="0012140D" w:rsidRPr="0012140D" w:rsidRDefault="0012140D" w:rsidP="0012140D">
            <w:pPr>
              <w:spacing w:before="100" w:beforeAutospacing="1" w:after="100" w:afterAutospacing="1" w:line="240" w:lineRule="auto"/>
              <w:rPr>
                <w:rFonts w:ascii="Times New Roman" w:eastAsia="Times New Roman" w:hAnsi="Times New Roman" w:cs="Times New Roman"/>
                <w:sz w:val="24"/>
                <w:szCs w:val="24"/>
                <w:lang w:eastAsia="it-IT"/>
              </w:rPr>
            </w:pPr>
            <w:r w:rsidRPr="0012140D">
              <w:rPr>
                <w:rFonts w:ascii="Times New Roman" w:eastAsia="Times New Roman" w:hAnsi="Times New Roman" w:cs="Times New Roman"/>
                <w:b/>
                <w:bCs/>
                <w:sz w:val="24"/>
                <w:szCs w:val="24"/>
                <w:lang w:eastAsia="it-IT"/>
              </w:rPr>
              <w:t xml:space="preserve">STATO </w:t>
            </w:r>
            <w:proofErr w:type="spellStart"/>
            <w:r w:rsidRPr="0012140D">
              <w:rPr>
                <w:rFonts w:ascii="Times New Roman" w:eastAsia="Times New Roman" w:hAnsi="Times New Roman" w:cs="Times New Roman"/>
                <w:b/>
                <w:bCs/>
                <w:sz w:val="24"/>
                <w:szCs w:val="24"/>
                <w:lang w:eastAsia="it-IT"/>
              </w:rPr>
              <w:t>DI</w:t>
            </w:r>
            <w:proofErr w:type="spellEnd"/>
            <w:r w:rsidRPr="0012140D">
              <w:rPr>
                <w:rFonts w:ascii="Times New Roman" w:eastAsia="Times New Roman" w:hAnsi="Times New Roman" w:cs="Times New Roman"/>
                <w:b/>
                <w:bCs/>
                <w:sz w:val="24"/>
                <w:szCs w:val="24"/>
                <w:lang w:eastAsia="it-IT"/>
              </w:rPr>
              <w:t xml:space="preserve"> ATTUAZIONE DEL PROGRAMMA</w:t>
            </w:r>
            <w:r w:rsidRPr="0012140D">
              <w:rPr>
                <w:rFonts w:ascii="Times New Roman" w:eastAsia="Times New Roman" w:hAnsi="Times New Roman" w:cs="Times New Roman"/>
                <w:sz w:val="24"/>
                <w:szCs w:val="24"/>
                <w:lang w:eastAsia="it-IT"/>
              </w:rPr>
              <w:br/>
              <w:t xml:space="preserve">In apertura del Consiglio dei Ministri, il Ministro per le riforme costituzionali e i rapporti con il Parlamento Maria Elena Boschi ha comunicato al Governo che dal Consiglio dei Ministri dell’11 giugno sono stati adottati 9 provvedimenti attuativi, di cui 4 relativi al Governo in carica, mentre lo stock Monti - Letta si è ridotto a 290. </w:t>
            </w:r>
            <w:r w:rsidRPr="0012140D">
              <w:rPr>
                <w:rFonts w:ascii="Times New Roman" w:eastAsia="Times New Roman" w:hAnsi="Times New Roman" w:cs="Times New Roman"/>
                <w:sz w:val="24"/>
                <w:szCs w:val="24"/>
                <w:lang w:eastAsia="it-IT"/>
              </w:rPr>
              <w:br/>
              <w:t xml:space="preserve">Sul sito </w:t>
            </w:r>
            <w:hyperlink r:id="rId4" w:history="1">
              <w:r w:rsidRPr="0012140D">
                <w:rPr>
                  <w:rFonts w:ascii="Times New Roman" w:eastAsia="Times New Roman" w:hAnsi="Times New Roman" w:cs="Times New Roman"/>
                  <w:color w:val="0000FF"/>
                  <w:sz w:val="24"/>
                  <w:szCs w:val="24"/>
                  <w:u w:val="single"/>
                  <w:lang w:eastAsia="it-IT"/>
                </w:rPr>
                <w:t>dell’Ufficio per il programma di Governo</w:t>
              </w:r>
            </w:hyperlink>
            <w:r w:rsidRPr="0012140D">
              <w:rPr>
                <w:rFonts w:ascii="Times New Roman" w:eastAsia="Times New Roman" w:hAnsi="Times New Roman" w:cs="Times New Roman"/>
                <w:b/>
                <w:bCs/>
                <w:sz w:val="24"/>
                <w:szCs w:val="24"/>
                <w:lang w:eastAsia="it-IT"/>
              </w:rPr>
              <w:t xml:space="preserve">, </w:t>
            </w:r>
            <w:r w:rsidRPr="0012140D">
              <w:rPr>
                <w:rFonts w:ascii="Times New Roman" w:eastAsia="Times New Roman" w:hAnsi="Times New Roman" w:cs="Times New Roman"/>
                <w:sz w:val="24"/>
                <w:szCs w:val="24"/>
                <w:lang w:eastAsia="it-IT"/>
              </w:rPr>
              <w:t xml:space="preserve">sono pubblicati gli </w:t>
            </w:r>
            <w:hyperlink r:id="rId5" w:history="1">
              <w:r w:rsidRPr="0012140D">
                <w:rPr>
                  <w:rFonts w:ascii="Times New Roman" w:eastAsia="Times New Roman" w:hAnsi="Times New Roman" w:cs="Times New Roman"/>
                  <w:color w:val="0000FF"/>
                  <w:sz w:val="24"/>
                  <w:szCs w:val="24"/>
                  <w:u w:val="single"/>
                  <w:lang w:eastAsia="it-IT"/>
                </w:rPr>
                <w:t>elenchi aggiornati al 19 giugno dei provvedimenti adottati</w:t>
              </w:r>
            </w:hyperlink>
            <w:r w:rsidRPr="0012140D">
              <w:rPr>
                <w:rFonts w:ascii="Times New Roman" w:eastAsia="Times New Roman" w:hAnsi="Times New Roman" w:cs="Times New Roman"/>
                <w:b/>
                <w:bCs/>
                <w:sz w:val="24"/>
                <w:szCs w:val="24"/>
                <w:lang w:eastAsia="it-IT"/>
              </w:rPr>
              <w:t xml:space="preserve"> </w:t>
            </w:r>
            <w:r w:rsidRPr="0012140D">
              <w:rPr>
                <w:rFonts w:ascii="Times New Roman" w:eastAsia="Times New Roman" w:hAnsi="Times New Roman" w:cs="Times New Roman"/>
                <w:sz w:val="24"/>
                <w:szCs w:val="24"/>
                <w:lang w:eastAsia="it-IT"/>
              </w:rPr>
              <w:t>e i link a quelli pubblicati.</w:t>
            </w:r>
          </w:p>
          <w:p w:rsidR="0012140D" w:rsidRPr="0012140D" w:rsidRDefault="0012140D" w:rsidP="0012140D">
            <w:pPr>
              <w:spacing w:before="100" w:beforeAutospacing="1" w:after="100" w:afterAutospacing="1" w:line="240" w:lineRule="auto"/>
              <w:rPr>
                <w:rFonts w:ascii="Times New Roman" w:eastAsia="Times New Roman" w:hAnsi="Times New Roman" w:cs="Times New Roman"/>
                <w:sz w:val="24"/>
                <w:szCs w:val="24"/>
                <w:lang w:eastAsia="it-IT"/>
              </w:rPr>
            </w:pPr>
            <w:r w:rsidRPr="0012140D">
              <w:rPr>
                <w:rFonts w:ascii="Times New Roman" w:eastAsia="Times New Roman" w:hAnsi="Times New Roman" w:cs="Times New Roman"/>
                <w:b/>
                <w:bCs/>
                <w:sz w:val="24"/>
                <w:szCs w:val="24"/>
                <w:lang w:eastAsia="it-IT"/>
              </w:rPr>
              <w:t>GIUSTIZIA PER LA CRESCITA</w:t>
            </w:r>
            <w:r w:rsidRPr="0012140D">
              <w:rPr>
                <w:rFonts w:ascii="Times New Roman" w:eastAsia="Times New Roman" w:hAnsi="Times New Roman" w:cs="Times New Roman"/>
                <w:b/>
                <w:bCs/>
                <w:sz w:val="24"/>
                <w:szCs w:val="24"/>
                <w:lang w:eastAsia="it-IT"/>
              </w:rPr>
              <w:br/>
              <w:t>Misure urgenti in materia fallimentare, civile e processuale civile e di organizzazione e funzionamento dell’amministrazione giudiziaria (decreto legge)</w:t>
            </w:r>
            <w:r w:rsidRPr="0012140D">
              <w:rPr>
                <w:rFonts w:ascii="Times New Roman" w:eastAsia="Times New Roman" w:hAnsi="Times New Roman" w:cs="Times New Roman"/>
                <w:sz w:val="24"/>
                <w:szCs w:val="24"/>
                <w:lang w:eastAsia="it-IT"/>
              </w:rPr>
              <w:br/>
              <w:t xml:space="preserve">Per risolvere il problema della scarsa accessibilità al credito da parte delle aziende, il Consiglio dei ministri, su proposta dei Ministri dell’economia e delle finanze Pietro Carlo </w:t>
            </w:r>
            <w:proofErr w:type="spellStart"/>
            <w:r w:rsidRPr="0012140D">
              <w:rPr>
                <w:rFonts w:ascii="Times New Roman" w:eastAsia="Times New Roman" w:hAnsi="Times New Roman" w:cs="Times New Roman"/>
                <w:sz w:val="24"/>
                <w:szCs w:val="24"/>
                <w:lang w:eastAsia="it-IT"/>
              </w:rPr>
              <w:t>Padoan</w:t>
            </w:r>
            <w:proofErr w:type="spellEnd"/>
            <w:r w:rsidRPr="0012140D">
              <w:rPr>
                <w:rFonts w:ascii="Times New Roman" w:eastAsia="Times New Roman" w:hAnsi="Times New Roman" w:cs="Times New Roman"/>
                <w:sz w:val="24"/>
                <w:szCs w:val="24"/>
                <w:lang w:eastAsia="it-IT"/>
              </w:rPr>
              <w:t xml:space="preserve"> e della giustizia Andrea Orlando ha approvato un decreto legge recante misure urgenti in materia fallimentare, civile e processuale civile e di organizzazione e funzionamento dell’amministrazione giudiziaria e che contiene misure che affrontano molte delle cause che determinano la stretta creditizia. Tutte le misure muovono da un principio comune: un’azienda con problemi rischia di trascinare con sé altre imprese (fornitori di beni e servizi e intermediari finanziari) continuando a contrarre obbligazioni che non potrà soddisfare. Affrontare tempestivamente i casi di crisi aziendale consente di limitare le perdite del tessuto economico, sia nella dimensione strettamente imprenditoriale sia sul piano finanziario, o di risanare l’azienda, con benefici sul piano occupazione e più in generale tutelando il tessuto economico contiguo.</w:t>
            </w:r>
          </w:p>
          <w:p w:rsidR="0012140D" w:rsidRPr="0012140D" w:rsidRDefault="0012140D" w:rsidP="0012140D">
            <w:pPr>
              <w:spacing w:before="100" w:beforeAutospacing="1" w:after="100" w:afterAutospacing="1" w:line="240" w:lineRule="auto"/>
              <w:rPr>
                <w:rFonts w:ascii="Times New Roman" w:eastAsia="Times New Roman" w:hAnsi="Times New Roman" w:cs="Times New Roman"/>
                <w:sz w:val="24"/>
                <w:szCs w:val="24"/>
                <w:lang w:eastAsia="it-IT"/>
              </w:rPr>
            </w:pPr>
            <w:r w:rsidRPr="0012140D">
              <w:rPr>
                <w:rFonts w:ascii="Times New Roman" w:eastAsia="Times New Roman" w:hAnsi="Times New Roman" w:cs="Times New Roman"/>
                <w:b/>
                <w:bCs/>
                <w:sz w:val="24"/>
                <w:szCs w:val="24"/>
                <w:lang w:eastAsia="it-IT"/>
              </w:rPr>
              <w:t>Accesso al credito nel corso di una crisi aziendale</w:t>
            </w:r>
            <w:r w:rsidRPr="0012140D">
              <w:rPr>
                <w:rFonts w:ascii="Times New Roman" w:eastAsia="Times New Roman" w:hAnsi="Times New Roman" w:cs="Times New Roman"/>
                <w:sz w:val="24"/>
                <w:szCs w:val="24"/>
                <w:lang w:eastAsia="it-IT"/>
              </w:rPr>
              <w:t>: il Tribunale può autorizzare finanziamenti interinali anche nel caso di concordato in bianco e in via d’urgenza anche senza attestazione di un professionista, sentiti i creditori principali. In questo modo si aumentano le possibilità di riuscita di piani di risanamento dell’impresa in crisi.</w:t>
            </w:r>
            <w:r w:rsidRPr="0012140D">
              <w:rPr>
                <w:rFonts w:ascii="Times New Roman" w:eastAsia="Times New Roman" w:hAnsi="Times New Roman" w:cs="Times New Roman"/>
                <w:sz w:val="24"/>
                <w:szCs w:val="24"/>
                <w:lang w:eastAsia="it-IT"/>
              </w:rPr>
              <w:br/>
            </w:r>
            <w:r w:rsidRPr="0012140D">
              <w:rPr>
                <w:rFonts w:ascii="Times New Roman" w:eastAsia="Times New Roman" w:hAnsi="Times New Roman" w:cs="Times New Roman"/>
                <w:b/>
                <w:bCs/>
                <w:sz w:val="24"/>
                <w:szCs w:val="24"/>
                <w:lang w:eastAsia="it-IT"/>
              </w:rPr>
              <w:t>Apertura alla concorrenza nel concordato preventivo – offerte concorrenti</w:t>
            </w:r>
            <w:r w:rsidRPr="0012140D">
              <w:rPr>
                <w:rFonts w:ascii="Times New Roman" w:eastAsia="Times New Roman" w:hAnsi="Times New Roman" w:cs="Times New Roman"/>
                <w:sz w:val="24"/>
                <w:szCs w:val="24"/>
                <w:lang w:eastAsia="it-IT"/>
              </w:rPr>
              <w:t>: offerte per l’acquisto dei beni possono essere presentate – oltre che dal debitore – anche da terzi, purché migliorative e comparabili. In questo modo si evita la svalutazione abusiva del patrimonio. </w:t>
            </w:r>
            <w:r w:rsidRPr="0012140D">
              <w:rPr>
                <w:rFonts w:ascii="Times New Roman" w:eastAsia="Times New Roman" w:hAnsi="Times New Roman" w:cs="Times New Roman"/>
                <w:sz w:val="24"/>
                <w:szCs w:val="24"/>
                <w:lang w:eastAsia="it-IT"/>
              </w:rPr>
              <w:br/>
            </w:r>
            <w:r w:rsidRPr="0012140D">
              <w:rPr>
                <w:rFonts w:ascii="Times New Roman" w:eastAsia="Times New Roman" w:hAnsi="Times New Roman" w:cs="Times New Roman"/>
                <w:b/>
                <w:bCs/>
                <w:sz w:val="24"/>
                <w:szCs w:val="24"/>
                <w:lang w:eastAsia="it-IT"/>
              </w:rPr>
              <w:t>Apertura alla concorrenza nel concordato preventivo – proposte concorrenti</w:t>
            </w:r>
            <w:r w:rsidRPr="0012140D">
              <w:rPr>
                <w:rFonts w:ascii="Times New Roman" w:eastAsia="Times New Roman" w:hAnsi="Times New Roman" w:cs="Times New Roman"/>
                <w:sz w:val="24"/>
                <w:szCs w:val="24"/>
                <w:lang w:eastAsia="it-IT"/>
              </w:rPr>
              <w:t>: il concordato preventivo può essere presentato anche dai creditori quando la proposta del debitore non prevede la soddisfazione di almeno il 25% dei crediti chirografari, purché si tratti di proposta migliorativa. In questo modo si favorisce l’immissione di nuovi capitali nell’impresa in crisi e la corretta valorizzazione del patrimonio del debitore.</w:t>
            </w:r>
            <w:r w:rsidRPr="0012140D">
              <w:rPr>
                <w:rFonts w:ascii="Times New Roman" w:eastAsia="Times New Roman" w:hAnsi="Times New Roman" w:cs="Times New Roman"/>
                <w:sz w:val="24"/>
                <w:szCs w:val="24"/>
                <w:lang w:eastAsia="it-IT"/>
              </w:rPr>
              <w:br/>
            </w:r>
            <w:r w:rsidRPr="0012140D">
              <w:rPr>
                <w:rFonts w:ascii="Times New Roman" w:eastAsia="Times New Roman" w:hAnsi="Times New Roman" w:cs="Times New Roman"/>
                <w:b/>
                <w:bCs/>
                <w:sz w:val="24"/>
                <w:szCs w:val="24"/>
                <w:lang w:eastAsia="it-IT"/>
              </w:rPr>
              <w:t>Ristrutturazione dei debiti</w:t>
            </w:r>
            <w:r w:rsidRPr="0012140D">
              <w:rPr>
                <w:rFonts w:ascii="Times New Roman" w:eastAsia="Times New Roman" w:hAnsi="Times New Roman" w:cs="Times New Roman"/>
                <w:sz w:val="24"/>
                <w:szCs w:val="24"/>
                <w:lang w:eastAsia="it-IT"/>
              </w:rPr>
              <w:t>: l’accordo può essere concluso con il 75% dei creditori finanziari, se questi rappresentano almeno la metà dell’indebitamento, fermo l’integrale pagamento dei creditori non finanziari (per esempio altre imprese fornitrici di beni e servizi). In questo modo si evita che alcuni crediti finanziari possano bloccare l’esito della procedura, e quindi si favorisce un risanamento precoce.</w:t>
            </w:r>
            <w:r w:rsidRPr="0012140D">
              <w:rPr>
                <w:rFonts w:ascii="Times New Roman" w:eastAsia="Times New Roman" w:hAnsi="Times New Roman" w:cs="Times New Roman"/>
                <w:sz w:val="24"/>
                <w:szCs w:val="24"/>
                <w:lang w:eastAsia="it-IT"/>
              </w:rPr>
              <w:br/>
            </w:r>
            <w:r w:rsidRPr="0012140D">
              <w:rPr>
                <w:rFonts w:ascii="Times New Roman" w:eastAsia="Times New Roman" w:hAnsi="Times New Roman" w:cs="Times New Roman"/>
                <w:b/>
                <w:bCs/>
                <w:sz w:val="24"/>
                <w:szCs w:val="24"/>
                <w:lang w:eastAsia="it-IT"/>
              </w:rPr>
              <w:t>Curatore fallimentare</w:t>
            </w:r>
            <w:r w:rsidRPr="0012140D">
              <w:rPr>
                <w:rFonts w:ascii="Times New Roman" w:eastAsia="Times New Roman" w:hAnsi="Times New Roman" w:cs="Times New Roman"/>
                <w:sz w:val="24"/>
                <w:szCs w:val="24"/>
                <w:lang w:eastAsia="it-IT"/>
              </w:rPr>
              <w:t xml:space="preserve">: la figura del curatore fallimentare viene distinta da quella del commissario giudiziale – le due vengono rese incompatibili – e deve essere in grado di completare i propri adempimenti entro i termini, pena la revoca. In questo modo si garantisce la </w:t>
            </w:r>
            <w:proofErr w:type="spellStart"/>
            <w:r w:rsidRPr="0012140D">
              <w:rPr>
                <w:rFonts w:ascii="Times New Roman" w:eastAsia="Times New Roman" w:hAnsi="Times New Roman" w:cs="Times New Roman"/>
                <w:sz w:val="24"/>
                <w:szCs w:val="24"/>
                <w:lang w:eastAsia="it-IT"/>
              </w:rPr>
              <w:t>terzietà</w:t>
            </w:r>
            <w:proofErr w:type="spellEnd"/>
            <w:r w:rsidRPr="0012140D">
              <w:rPr>
                <w:rFonts w:ascii="Times New Roman" w:eastAsia="Times New Roman" w:hAnsi="Times New Roman" w:cs="Times New Roman"/>
                <w:sz w:val="24"/>
                <w:szCs w:val="24"/>
                <w:lang w:eastAsia="it-IT"/>
              </w:rPr>
              <w:t xml:space="preserve"> del </w:t>
            </w:r>
            <w:r w:rsidRPr="0012140D">
              <w:rPr>
                <w:rFonts w:ascii="Times New Roman" w:eastAsia="Times New Roman" w:hAnsi="Times New Roman" w:cs="Times New Roman"/>
                <w:sz w:val="24"/>
                <w:szCs w:val="24"/>
                <w:lang w:eastAsia="it-IT"/>
              </w:rPr>
              <w:lastRenderedPageBreak/>
              <w:t>commissario e si riducono i tempi delle procedure di fallimento.</w:t>
            </w:r>
            <w:r w:rsidRPr="0012140D">
              <w:rPr>
                <w:rFonts w:ascii="Times New Roman" w:eastAsia="Times New Roman" w:hAnsi="Times New Roman" w:cs="Times New Roman"/>
                <w:sz w:val="24"/>
                <w:szCs w:val="24"/>
                <w:lang w:eastAsia="it-IT"/>
              </w:rPr>
              <w:br/>
            </w:r>
            <w:r w:rsidRPr="0012140D">
              <w:rPr>
                <w:rFonts w:ascii="Times New Roman" w:eastAsia="Times New Roman" w:hAnsi="Times New Roman" w:cs="Times New Roman"/>
                <w:b/>
                <w:bCs/>
                <w:sz w:val="24"/>
                <w:szCs w:val="24"/>
                <w:lang w:eastAsia="it-IT"/>
              </w:rPr>
              <w:t>Operazioni di vendita</w:t>
            </w:r>
            <w:r w:rsidRPr="0012140D">
              <w:rPr>
                <w:rFonts w:ascii="Times New Roman" w:eastAsia="Times New Roman" w:hAnsi="Times New Roman" w:cs="Times New Roman"/>
                <w:sz w:val="24"/>
                <w:szCs w:val="24"/>
                <w:lang w:eastAsia="it-IT"/>
              </w:rPr>
              <w:t>: le operazioni di vendita vendono rese più rapide e tali da migliorare il valore realizzato, grazie alla gestione prioritaria per via extra giudiziale, alle modalità di determinazione del prezzo di vendita, ai criteri di aggiudicazione e ai costi per la pubblicità.</w:t>
            </w:r>
            <w:r w:rsidRPr="0012140D">
              <w:rPr>
                <w:rFonts w:ascii="Times New Roman" w:eastAsia="Times New Roman" w:hAnsi="Times New Roman" w:cs="Times New Roman"/>
                <w:sz w:val="24"/>
                <w:szCs w:val="24"/>
                <w:lang w:eastAsia="it-IT"/>
              </w:rPr>
              <w:br/>
            </w:r>
            <w:r w:rsidRPr="0012140D">
              <w:rPr>
                <w:rFonts w:ascii="Times New Roman" w:eastAsia="Times New Roman" w:hAnsi="Times New Roman" w:cs="Times New Roman"/>
                <w:b/>
                <w:bCs/>
                <w:sz w:val="24"/>
                <w:szCs w:val="24"/>
                <w:lang w:eastAsia="it-IT"/>
              </w:rPr>
              <w:t xml:space="preserve">Deducibilità delle perdite: </w:t>
            </w:r>
            <w:r w:rsidRPr="0012140D">
              <w:rPr>
                <w:rFonts w:ascii="Times New Roman" w:eastAsia="Times New Roman" w:hAnsi="Times New Roman" w:cs="Times New Roman"/>
                <w:sz w:val="24"/>
                <w:szCs w:val="24"/>
                <w:lang w:eastAsia="it-IT"/>
              </w:rPr>
              <w:t xml:space="preserve">il regime di deducibilità ai fini </w:t>
            </w:r>
            <w:proofErr w:type="spellStart"/>
            <w:r w:rsidRPr="0012140D">
              <w:rPr>
                <w:rFonts w:ascii="Times New Roman" w:eastAsia="Times New Roman" w:hAnsi="Times New Roman" w:cs="Times New Roman"/>
                <w:sz w:val="24"/>
                <w:szCs w:val="24"/>
                <w:lang w:eastAsia="it-IT"/>
              </w:rPr>
              <w:t>Ires</w:t>
            </w:r>
            <w:proofErr w:type="spellEnd"/>
            <w:r w:rsidRPr="0012140D">
              <w:rPr>
                <w:rFonts w:ascii="Times New Roman" w:eastAsia="Times New Roman" w:hAnsi="Times New Roman" w:cs="Times New Roman"/>
                <w:sz w:val="24"/>
                <w:szCs w:val="24"/>
                <w:lang w:eastAsia="it-IT"/>
              </w:rPr>
              <w:t xml:space="preserve"> e Irap delle svalutazioni crediti e delle perdite su crediti degli enti creditizi e finanziari e delle imprese di assicurazione viene modificato introducendo, al posto della deducibilità annuale in misura di un quinto per ciascun anno, la deducibilità integrale di tali componenti negativi di reddito nell’esercizio in cui sono rilevati in bilancio. In questo modo si incentivano le imprese del credito a dismettere crediti incagliati così da alimentare il margine patrimoniale per la concessione di nuovo credito.</w:t>
            </w:r>
            <w:r w:rsidRPr="0012140D">
              <w:rPr>
                <w:rFonts w:ascii="Times New Roman" w:eastAsia="Times New Roman" w:hAnsi="Times New Roman" w:cs="Times New Roman"/>
                <w:sz w:val="24"/>
                <w:szCs w:val="24"/>
                <w:lang w:eastAsia="it-IT"/>
              </w:rPr>
              <w:br/>
              <w:t>È intervenuto in Consiglio dei ministri, appositamente invitato, il Viceministro della giustizia Enrico Costa.</w:t>
            </w:r>
          </w:p>
          <w:p w:rsidR="0012140D" w:rsidRPr="0012140D" w:rsidRDefault="0012140D" w:rsidP="0012140D">
            <w:pPr>
              <w:spacing w:before="100" w:beforeAutospacing="1" w:after="100" w:afterAutospacing="1" w:line="240" w:lineRule="auto"/>
              <w:rPr>
                <w:rFonts w:ascii="Times New Roman" w:eastAsia="Times New Roman" w:hAnsi="Times New Roman" w:cs="Times New Roman"/>
                <w:sz w:val="24"/>
                <w:szCs w:val="24"/>
                <w:lang w:eastAsia="it-IT"/>
              </w:rPr>
            </w:pPr>
            <w:r w:rsidRPr="0012140D">
              <w:rPr>
                <w:rFonts w:ascii="Times New Roman" w:eastAsia="Times New Roman" w:hAnsi="Times New Roman" w:cs="Times New Roman"/>
                <w:b/>
                <w:bCs/>
                <w:sz w:val="24"/>
                <w:szCs w:val="24"/>
                <w:lang w:eastAsia="it-IT"/>
              </w:rPr>
              <w:t>DELEGA FISCALE</w:t>
            </w:r>
            <w:r w:rsidRPr="0012140D">
              <w:rPr>
                <w:rFonts w:ascii="Times New Roman" w:eastAsia="Times New Roman" w:hAnsi="Times New Roman" w:cs="Times New Roman"/>
                <w:sz w:val="24"/>
                <w:szCs w:val="24"/>
                <w:lang w:eastAsia="it-IT"/>
              </w:rPr>
              <w:br/>
              <w:t xml:space="preserve">Il Consiglio dei ministri, su proposta del Ministro dell’economia e finanze Pietro Carlo </w:t>
            </w:r>
            <w:proofErr w:type="spellStart"/>
            <w:r w:rsidRPr="0012140D">
              <w:rPr>
                <w:rFonts w:ascii="Times New Roman" w:eastAsia="Times New Roman" w:hAnsi="Times New Roman" w:cs="Times New Roman"/>
                <w:sz w:val="24"/>
                <w:szCs w:val="24"/>
                <w:lang w:eastAsia="it-IT"/>
              </w:rPr>
              <w:t>Padoan</w:t>
            </w:r>
            <w:proofErr w:type="spellEnd"/>
            <w:r w:rsidRPr="0012140D">
              <w:rPr>
                <w:rFonts w:ascii="Times New Roman" w:eastAsia="Times New Roman" w:hAnsi="Times New Roman" w:cs="Times New Roman"/>
                <w:sz w:val="24"/>
                <w:szCs w:val="24"/>
                <w:lang w:eastAsia="it-IT"/>
              </w:rPr>
              <w:t>, ha avviato una prima discussione dei cinque decreti legislativi in attuazione della legge 11 marzo 2014, n. 23 in materia di stima e monitoraggio dell’evasione fiscale, revisione del sistema sanzionatorio, interpello e contenzioso, riscossione, riorganizzazione delle Agenzie fiscali.  </w:t>
            </w:r>
          </w:p>
        </w:tc>
      </w:tr>
    </w:tbl>
    <w:p w:rsidR="00056A9C" w:rsidRDefault="00056A9C"/>
    <w:sectPr w:rsidR="00056A9C" w:rsidSect="00056A9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283"/>
  <w:characterSpacingControl w:val="doNotCompress"/>
  <w:compat/>
  <w:rsids>
    <w:rsidRoot w:val="0012140D"/>
    <w:rsid w:val="00056A9C"/>
    <w:rsid w:val="0012140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56A9C"/>
  </w:style>
  <w:style w:type="paragraph" w:styleId="Titolo1">
    <w:name w:val="heading 1"/>
    <w:basedOn w:val="Normale"/>
    <w:link w:val="Titolo1Carattere"/>
    <w:uiPriority w:val="9"/>
    <w:qFormat/>
    <w:rsid w:val="001214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2140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2140D"/>
    <w:rPr>
      <w:rFonts w:ascii="Tahoma" w:hAnsi="Tahoma" w:cs="Tahoma"/>
      <w:sz w:val="16"/>
      <w:szCs w:val="16"/>
    </w:rPr>
  </w:style>
  <w:style w:type="character" w:customStyle="1" w:styleId="Titolo1Carattere">
    <w:name w:val="Titolo 1 Carattere"/>
    <w:basedOn w:val="Carpredefinitoparagrafo"/>
    <w:link w:val="Titolo1"/>
    <w:uiPriority w:val="9"/>
    <w:rsid w:val="0012140D"/>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rsid w:val="0012140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12140D"/>
    <w:rPr>
      <w:b/>
      <w:bCs/>
    </w:rPr>
  </w:style>
  <w:style w:type="character" w:styleId="Collegamentoipertestuale">
    <w:name w:val="Hyperlink"/>
    <w:basedOn w:val="Carpredefinitoparagrafo"/>
    <w:uiPriority w:val="99"/>
    <w:semiHidden/>
    <w:unhideWhenUsed/>
    <w:rsid w:val="0012140D"/>
    <w:rPr>
      <w:color w:val="0000FF"/>
      <w:u w:val="single"/>
    </w:rPr>
  </w:style>
</w:styles>
</file>

<file path=word/webSettings.xml><?xml version="1.0" encoding="utf-8"?>
<w:webSettings xmlns:r="http://schemas.openxmlformats.org/officeDocument/2006/relationships" xmlns:w="http://schemas.openxmlformats.org/wordprocessingml/2006/main">
  <w:divs>
    <w:div w:id="802772551">
      <w:bodyDiv w:val="1"/>
      <w:marLeft w:val="0"/>
      <w:marRight w:val="0"/>
      <w:marTop w:val="0"/>
      <w:marBottom w:val="0"/>
      <w:divBdr>
        <w:top w:val="none" w:sz="0" w:space="0" w:color="auto"/>
        <w:left w:val="none" w:sz="0" w:space="0" w:color="auto"/>
        <w:bottom w:val="none" w:sz="0" w:space="0" w:color="auto"/>
        <w:right w:val="none" w:sz="0" w:space="0" w:color="auto"/>
      </w:divBdr>
      <w:divsChild>
        <w:div w:id="940183607">
          <w:marLeft w:val="0"/>
          <w:marRight w:val="0"/>
          <w:marTop w:val="0"/>
          <w:marBottom w:val="0"/>
          <w:divBdr>
            <w:top w:val="none" w:sz="0" w:space="0" w:color="auto"/>
            <w:left w:val="none" w:sz="0" w:space="0" w:color="auto"/>
            <w:bottom w:val="none" w:sz="0" w:space="0" w:color="auto"/>
            <w:right w:val="none" w:sz="0" w:space="0" w:color="auto"/>
          </w:divBdr>
        </w:div>
        <w:div w:id="633752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rogrammagoverno.gov.it/focus-sui-decreti-attuativi/provvedimenti-attuativi/" TargetMode="External"/><Relationship Id="rId4" Type="http://schemas.openxmlformats.org/officeDocument/2006/relationships/hyperlink" Target="http://www.programmagoverno.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807</Words>
  <Characters>4604</Characters>
  <Application>Microsoft Office Word</Application>
  <DocSecurity>0</DocSecurity>
  <Lines>38</Lines>
  <Paragraphs>10</Paragraphs>
  <ScaleCrop>false</ScaleCrop>
  <Company/>
  <LinksUpToDate>false</LinksUpToDate>
  <CharactersWithSpaces>5401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COmpoter-2</dc:creator>
  <cp:lastModifiedBy>COmpoter-2</cp:lastModifiedBy>
  <cp:revision>1</cp:revision>
  <dcterms:created xsi:type="dcterms:W3CDTF">2015-07-06T10:54:00Z</dcterms:created>
  <dcterms:modified xsi:type="dcterms:W3CDTF">2015-07-06T11:14:00Z</dcterms:modified>
</cp:coreProperties>
</file>